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left w:color="auto" w:space="0" w:sz="0" w:val="none"/>
        </w:pBdr>
        <w:shd w:fill="ffffff" w:val="clear"/>
        <w:spacing w:after="240" w:lineRule="auto"/>
        <w:rPr>
          <w:rFonts w:ascii="Roboto" w:cs="Roboto" w:eastAsia="Roboto" w:hAnsi="Roboto"/>
          <w:b w:val="1"/>
          <w:bCs w:val="1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12529"/>
          <w:sz w:val="24"/>
          <w:szCs w:val="24"/>
          <w:rtl w:val="0"/>
        </w:rPr>
        <w:t xml:space="preserve">Katarzyna Pełczyńska-Nałęcz</w:t>
        <w:br w:type="textWrapping"/>
        <w:t xml:space="preserve">Minister Funduszy i Polityki Regionalnej</w:t>
        <w:br w:type="textWrapping"/>
        <w:br w:type="textWrapping"/>
        <w:t xml:space="preserve">Stefan Krajewski</w:t>
        <w:br w:type="textWrapping"/>
        <w:t xml:space="preserve">Minister Rolnictwa i Rozwoju Wsi </w:t>
      </w:r>
    </w:p>
    <w:p w:rsidR="00000000" w:rsidDel="00000000" w:rsidP="00000000" w:rsidRDefault="00000000" w:rsidRPr="00000000" w14:paraId="00000002">
      <w:pPr>
        <w:pBdr>
          <w:left w:color="auto" w:space="0" w:sz="0" w:val="none"/>
        </w:pBd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Obszary wiejskie odgrywają kluczową rolę w realizacji spójności gospodarczej, społecznej i terytorialnej Unii Europejskiej, zgodnie z art. 174 Traktatu o funkcjonowaniu UE. Wymagają one jasno określonego, systemowego i mierzalnego wsparcia w przyszłej architekturze finansowej Unii.</w:t>
      </w:r>
    </w:p>
    <w:p w:rsidR="00000000" w:rsidDel="00000000" w:rsidP="00000000" w:rsidRDefault="00000000" w:rsidRPr="00000000" w14:paraId="00000003">
      <w:pPr>
        <w:pBdr>
          <w:left w:color="auto" w:space="0" w:sz="0" w:val="none"/>
        </w:pBd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W kontekście prac nad Wieloletnimi Ramami Finansowymi UE na lata 2028–2034 oraz Planem Partnerstwa Krajowego i Regionalnego wnosimy o wyraźne i obowiązkowe wzmocnienie rural target jako horyzontalnego celu polityk publicznych UE.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auto" w:space="7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140" w:before="280" w:line="288" w:lineRule="auto"/>
        <w:rPr>
          <w:rFonts w:ascii="Verdana" w:cs="Verdana" w:eastAsia="Verdana" w:hAnsi="Verdana"/>
          <w:b w:val="1"/>
          <w:bCs w:val="1"/>
          <w:color w:val="3d7bae"/>
          <w:sz w:val="20"/>
          <w:szCs w:val="20"/>
        </w:rPr>
      </w:pPr>
      <w:bookmarkStart w:colFirst="0" w:colLast="0" w:name="_9kvte563yolf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3d7bae"/>
          <w:sz w:val="20"/>
          <w:szCs w:val="20"/>
          <w:rtl w:val="0"/>
        </w:rPr>
        <w:t xml:space="preserve">Dlatego postulujemy o: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Przeznaczenie co najmniej 30% środków Planu Partnerstwa Krajowego i Regionalnego na realizację rural target, zapewniające realne i systemowe uwzględnienie potrzeb obszarów wiejskich we wszystkich właściwych politykach.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Obowiązkowe wdrożenie podejścia LEADER / RLKS, z przeznaczeniem minimum 30% środków rural target na rozwój lokalny kierowany przez społeczność.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Uznanie LEADER‑RLKS za kluczowy instrument terytorialny, oparty na podejściu oddolnym, partnerskim i zintegrowanym, odpowiadającym na lokalne potrzeby rozwojowe.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Zapewnienie jasnej koordynacji na poziomie krajowym, gwarantującej spójność polityki rozwoju obszarów wiejskich z polityką spójności przy aktywnym udziale samorządów regionalnych i lokalnych partnerstw.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pBdr>
          <w:top w:color="auto" w:space="7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140" w:before="280" w:line="288" w:lineRule="auto"/>
        <w:rPr>
          <w:rFonts w:ascii="Verdana" w:cs="Verdana" w:eastAsia="Verdana" w:hAnsi="Verdana"/>
          <w:b w:val="1"/>
          <w:bCs w:val="1"/>
          <w:color w:val="3d7bae"/>
          <w:sz w:val="20"/>
          <w:szCs w:val="20"/>
        </w:rPr>
      </w:pPr>
      <w:bookmarkStart w:colFirst="0" w:colLast="0" w:name="_3a8yok1cy6a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3d7bae"/>
          <w:sz w:val="20"/>
          <w:szCs w:val="20"/>
          <w:rtl w:val="0"/>
        </w:rPr>
        <w:t xml:space="preserve">Zgodność z celami Komisji Europejskiej</w:t>
      </w:r>
    </w:p>
    <w:p w:rsidR="00000000" w:rsidDel="00000000" w:rsidP="00000000" w:rsidRDefault="00000000" w:rsidRPr="00000000" w14:paraId="0000000A">
      <w:pPr>
        <w:pBdr>
          <w:left w:color="auto" w:space="0" w:sz="0" w:val="none"/>
        </w:pBd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Należy pamiętać, że instrument terytorialny LEADER‑RLKS, poprzez swoje oddolne i partycypacyjne podejście, w pełni realizuje cele Komisji Europejskiej, w szczególności: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wsparcie dla: ludzi, silnego społeczeństwa i europejskiego modelu społecznego,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ochronę demokracji i wartości europejskich.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pBdr>
          <w:top w:color="auto" w:space="7" w:sz="0" w:val="none"/>
          <w:left w:color="auto" w:space="0" w:sz="0" w:val="none"/>
          <w:bottom w:color="auto" w:space="0" w:sz="0" w:val="none"/>
          <w:right w:color="auto" w:space="0" w:sz="0" w:val="none"/>
        </w:pBdr>
        <w:shd w:fill="ffffff" w:val="clear"/>
        <w:spacing w:after="140" w:before="280" w:line="288" w:lineRule="auto"/>
        <w:rPr>
          <w:rFonts w:ascii="Verdana" w:cs="Verdana" w:eastAsia="Verdana" w:hAnsi="Verdana"/>
          <w:b w:val="1"/>
          <w:bCs w:val="1"/>
          <w:color w:val="3d7bae"/>
          <w:sz w:val="20"/>
          <w:szCs w:val="20"/>
        </w:rPr>
      </w:pPr>
      <w:bookmarkStart w:colFirst="0" w:colLast="0" w:name="_7n0nklvz91j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color w:val="3d7bae"/>
          <w:sz w:val="20"/>
          <w:szCs w:val="20"/>
          <w:rtl w:val="0"/>
        </w:rPr>
        <w:t xml:space="preserve">Wartość dodana postulowanego rozwiązania</w:t>
      </w:r>
    </w:p>
    <w:p w:rsidR="00000000" w:rsidDel="00000000" w:rsidP="00000000" w:rsidRDefault="00000000" w:rsidRPr="00000000" w14:paraId="0000000E">
      <w:pPr>
        <w:pBdr>
          <w:left w:color="auto" w:space="0" w:sz="0" w:val="none"/>
        </w:pBd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Takie podejście zapewni: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spójność strategii realizowanych działań z polityką rozwoju obszarów wiejskich oraz polityką spójności,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efektywną koordynację działań sektora rolnego i polityk terytorialnych,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realne wykorzystanie instrumentu LEADER‑RLKS jako podstawowego narzędzia wdrażania rural target.</w:t>
      </w:r>
    </w:p>
    <w:p w:rsidR="00000000" w:rsidDel="00000000" w:rsidP="00000000" w:rsidRDefault="00000000" w:rsidRPr="00000000" w14:paraId="00000012">
      <w:pPr>
        <w:pBdr>
          <w:left w:color="auto" w:space="0" w:sz="0" w:val="none"/>
        </w:pBd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Brak wyraźnie zdefiniowanego i obowiązkowego </w:t>
      </w:r>
      <w:r w:rsidDel="00000000" w:rsidR="00000000" w:rsidRPr="00000000">
        <w:rPr>
          <w:rFonts w:ascii="Roboto" w:cs="Roboto" w:eastAsia="Roboto" w:hAnsi="Roboto"/>
          <w:i w:val="1"/>
          <w:iCs w:val="1"/>
          <w:color w:val="212529"/>
          <w:sz w:val="24"/>
          <w:szCs w:val="24"/>
          <w:rtl w:val="0"/>
        </w:rPr>
        <w:t xml:space="preserve">rural target</w:t>
      </w: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 w nowej architekturze finansowej UE grozi dalszą marginalizacją obszarów wiejskich oraz osłabieniem zdolności Unii do realizacji jej celów spójności i odporności terytorialnej.</w:t>
      </w:r>
    </w:p>
    <w:p w:rsidR="00000000" w:rsidDel="00000000" w:rsidP="00000000" w:rsidRDefault="00000000" w:rsidRPr="00000000" w14:paraId="00000013">
      <w:pPr>
        <w:pBdr>
          <w:left w:color="auto" w:space="0" w:sz="0" w:val="none"/>
        </w:pBd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W związku z tym apelujemy do Komisji Europejskiej oraz Rządu Rzeczypospolitej Polskiej o zapewnienie jasnych, mierzalnych i egzekwowalnych gwarancji finansowych dla obszarów wiejskich w WRF 2028–2034.</w:t>
      </w:r>
    </w:p>
    <w:p w:rsidR="00000000" w:rsidDel="00000000" w:rsidP="00000000" w:rsidRDefault="00000000" w:rsidRPr="00000000" w14:paraId="00000014">
      <w:pPr>
        <w:pBdr>
          <w:left w:color="auto" w:space="0" w:sz="0" w:val="none"/>
        </w:pBdr>
        <w:shd w:fill="ffffff" w:val="clear"/>
        <w:spacing w:after="240" w:lineRule="auto"/>
        <w:rPr>
          <w:rFonts w:ascii="Roboto" w:cs="Roboto" w:eastAsia="Roboto" w:hAnsi="Roboto"/>
          <w:color w:val="212529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Silne wspólnoty wiejskie są fundamentem spójnej, demokratycznej i odpornej Europy. Pełny tekst stanowiska na stronie </w:t>
      </w:r>
      <w:hyperlink r:id="rId6">
        <w:r w:rsidDel="00000000" w:rsidR="00000000" w:rsidRPr="00000000">
          <w:rPr>
            <w:rFonts w:ascii="Roboto" w:cs="Roboto" w:eastAsia="Roboto" w:hAnsi="Roboto"/>
            <w:color w:val="0d6efd"/>
            <w:sz w:val="24"/>
            <w:szCs w:val="24"/>
            <w:u w:val="single"/>
            <w:rtl w:val="0"/>
          </w:rPr>
          <w:t xml:space="preserve">Polskiej Sieci LGD</w:t>
        </w:r>
      </w:hyperlink>
      <w:r w:rsidDel="00000000" w:rsidR="00000000" w:rsidRPr="00000000">
        <w:rPr>
          <w:rFonts w:ascii="Roboto" w:cs="Roboto" w:eastAsia="Roboto" w:hAnsi="Roboto"/>
          <w:color w:val="212529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Bdr>
          <w:left w:color="auto" w:space="0" w:sz="0" w:val="none"/>
        </w:pBdr>
        <w:shd w:fill="ffffff" w:val="clear"/>
        <w:spacing w:after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12529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slgd.pl/akutalnosci/2026/wzmocniony-rural-target-w-planie-partnerstwa-2028-203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