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8 do wniosku o dofinansowanie 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2548255</wp:posOffset>
            </wp:positionH>
            <wp:positionV relativeFrom="paragraph">
              <wp:posOffset>12700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after="60" w:before="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DOTYCZĄCE ZGODNOŚCI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PROJEKTU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Z HORYZONTALNYMI WARUNKAMI UDZIELENIA WSPARCIA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 RAMACH DZIAŁANIA 2.07 ODNAWIALNE ŹRÓDŁA ENERGII – RLKS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page" w:horzAnchor="margin" w:tblpX="0" w:tblpY="4906"/>
        <w:tblW w:w="9493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915"/>
        <w:gridCol w:w="1578"/>
        <w:tblGridChange w:id="0">
          <w:tblGrid>
            <w:gridCol w:w="7915"/>
            <w:gridCol w:w="157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 projekt jest zgodny z zasadą równości szans i niedyskryminacji, w tym dostępności dla osób z niepełnosprawnościami i wpływa pozytywnie na jej realizację.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projektu jest zgodny z Kartą Praw Podstawowych Unii Europejskiej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 jest zgodny z Konwencją o Prawach Osób Niepełnosprawnych, sporządzoną w Nowym Jorku dnia 13 grudnia 2006 r.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 jest zgodny z zasadą równości kobiet i mężczyzn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</w:tbl>
    <w:p w:rsidR="00000000" w:rsidDel="00000000" w:rsidP="00000000" w:rsidRDefault="00000000" w:rsidRPr="00000000" w14:paraId="00000012">
      <w:pPr>
        <w:spacing w:after="60" w:before="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42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4247" w:firstLine="708.0000000000001"/>
        <w:rPr/>
      </w:pPr>
      <w:r w:rsidDel="00000000" w:rsidR="00000000" w:rsidRPr="00000000">
        <w:rPr>
          <w:rtl w:val="0"/>
        </w:rPr>
        <w:t xml:space="preserve">podpis Wnioskodawcy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 wyłączeniem zasady zrównoważonego rozwoju, w tym zasady DNSH (zasada nieczynienia znaczącej szkody środowisku)</w:t>
      </w:r>
    </w:p>
  </w:footnote>
  <w:footnote w:id="1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Dz. Urz. UE C 326 z 26.10.2012, str. 391</w:t>
      </w:r>
    </w:p>
  </w:footnote>
  <w:footnote w:id="2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Dz. U. z 2012 r. poz. 1169, ze. zm.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niepotrzebne skreślić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 w:val="1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4B7D36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81E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81EE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81EE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81E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81EE3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F62F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300"/>
    <w:rPr>
      <w:color w:val="954f72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A96D3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A96D3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xwTBbaOHvkVgx3dF9SebXSDug==">CgMxLjA4AHIhMWU1bXVydlRHNFlfcTR3NktJOHdJenplWW9KaUk5bzZI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Skierka Joanna</dc:creator>
</cp:coreProperties>
</file>